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3834FAE" w14:textId="25C38B58" w:rsidR="00F67509" w:rsidRPr="00080B1C" w:rsidRDefault="00F67509">
      <w:pPr>
        <w:ind w:left="360"/>
        <w:rPr>
          <w:rFonts w:cs="Tahoma"/>
          <w:b/>
          <w:bCs/>
          <w:szCs w:val="22"/>
        </w:rPr>
      </w:pPr>
      <w:bookmarkStart w:id="0" w:name="_GoBack"/>
      <w:bookmarkEnd w:id="0"/>
      <w:r w:rsidRPr="00080B1C">
        <w:rPr>
          <w:rStyle w:val="fontstyle01"/>
          <w:rFonts w:ascii="Tahoma" w:hAnsi="Tahoma" w:cs="Tahoma"/>
          <w:b/>
          <w:bCs/>
        </w:rPr>
        <w:t>Modernizacja instalacji elektrycznych i teletechnicznych.</w:t>
      </w:r>
    </w:p>
    <w:p w14:paraId="0A211EBF" w14:textId="77777777" w:rsidR="00F67509" w:rsidRPr="00080B1C" w:rsidRDefault="00F67509">
      <w:pPr>
        <w:ind w:left="360"/>
        <w:rPr>
          <w:rFonts w:cs="Tahoma"/>
          <w:b/>
          <w:szCs w:val="22"/>
        </w:rPr>
      </w:pPr>
    </w:p>
    <w:p w14:paraId="41C8A6AB" w14:textId="57A986AE" w:rsidR="00FE4807" w:rsidRPr="00080B1C" w:rsidRDefault="005C1878">
      <w:pPr>
        <w:ind w:left="360"/>
        <w:rPr>
          <w:rFonts w:cs="Tahoma"/>
          <w:b/>
          <w:sz w:val="24"/>
        </w:rPr>
      </w:pPr>
      <w:r w:rsidRPr="00080B1C">
        <w:rPr>
          <w:rFonts w:cs="Tahoma"/>
          <w:b/>
          <w:sz w:val="24"/>
        </w:rPr>
        <w:t>Opis ogólny</w:t>
      </w:r>
    </w:p>
    <w:p w14:paraId="188F2E76" w14:textId="116AF033" w:rsidR="005C1878" w:rsidRPr="00080B1C" w:rsidRDefault="005C1878" w:rsidP="00080B1C">
      <w:pPr>
        <w:ind w:left="0"/>
        <w:rPr>
          <w:rStyle w:val="fontstyle01"/>
          <w:rFonts w:ascii="Tahoma" w:hAnsi="Tahoma" w:cs="Tahoma"/>
          <w:sz w:val="22"/>
          <w:szCs w:val="22"/>
        </w:rPr>
      </w:pPr>
      <w:r w:rsidRPr="00080B1C">
        <w:rPr>
          <w:rStyle w:val="fontstyle01"/>
          <w:rFonts w:ascii="Tahoma" w:hAnsi="Tahoma" w:cs="Tahoma"/>
          <w:sz w:val="22"/>
          <w:szCs w:val="22"/>
        </w:rPr>
        <w:t xml:space="preserve">Przedmiot zamówienia obejmuje </w:t>
      </w:r>
      <w:r w:rsidR="004E44B8">
        <w:rPr>
          <w:rStyle w:val="fontstyle01"/>
          <w:rFonts w:ascii="Tahoma" w:hAnsi="Tahoma" w:cs="Tahoma"/>
          <w:sz w:val="22"/>
          <w:szCs w:val="22"/>
        </w:rPr>
        <w:t>przebudowę</w:t>
      </w:r>
      <w:r w:rsidRPr="00080B1C">
        <w:rPr>
          <w:rStyle w:val="fontstyle01"/>
          <w:rFonts w:ascii="Tahoma" w:hAnsi="Tahoma" w:cs="Tahoma"/>
          <w:sz w:val="22"/>
          <w:szCs w:val="22"/>
        </w:rPr>
        <w:t xml:space="preserve"> części pomieszczeń w budynku terminala pasażerskiego port</w:t>
      </w:r>
      <w:r w:rsidR="00245114">
        <w:rPr>
          <w:rStyle w:val="fontstyle01"/>
          <w:rFonts w:ascii="Tahoma" w:hAnsi="Tahoma" w:cs="Tahoma"/>
          <w:sz w:val="22"/>
          <w:szCs w:val="22"/>
        </w:rPr>
        <w:t xml:space="preserve">u lotniczego w Bydgoszczy S.A. </w:t>
      </w:r>
      <w:r w:rsidRPr="00080B1C">
        <w:rPr>
          <w:rStyle w:val="fontstyle01"/>
          <w:rFonts w:ascii="Tahoma" w:hAnsi="Tahoma" w:cs="Tahoma"/>
          <w:sz w:val="22"/>
          <w:szCs w:val="22"/>
        </w:rPr>
        <w:t>na terenie części działki 878/9, obręb ewidencyjny Białe Błota, gmina Białe Błota. Zakres robót przewiduje roboty budowlane, instalacyjne - instalacje elektryczne i teletechniczne - instalacja oświetlenia, gniazd, DSO, CCTV i SOP.</w:t>
      </w:r>
    </w:p>
    <w:p w14:paraId="639D7CC4" w14:textId="77777777" w:rsidR="00080B1C" w:rsidRPr="00080B1C" w:rsidRDefault="00080B1C">
      <w:pPr>
        <w:ind w:left="360"/>
        <w:rPr>
          <w:rStyle w:val="fontstyle01"/>
          <w:rFonts w:ascii="Tahoma" w:hAnsi="Tahoma" w:cs="Tahoma"/>
        </w:rPr>
      </w:pPr>
    </w:p>
    <w:p w14:paraId="40E1BC91" w14:textId="43191E49" w:rsidR="00080B1C" w:rsidRPr="00080B1C" w:rsidRDefault="00080B1C">
      <w:pPr>
        <w:ind w:left="360"/>
        <w:rPr>
          <w:b/>
          <w:bCs/>
          <w:sz w:val="24"/>
        </w:rPr>
      </w:pPr>
      <w:r w:rsidRPr="00080B1C">
        <w:rPr>
          <w:b/>
          <w:bCs/>
          <w:sz w:val="24"/>
        </w:rPr>
        <w:t>Opis techniczny</w:t>
      </w:r>
    </w:p>
    <w:p w14:paraId="07D291C8" w14:textId="77777777" w:rsidR="00080B1C" w:rsidRDefault="00080B1C" w:rsidP="00080B1C">
      <w:pPr>
        <w:ind w:left="0"/>
        <w:rPr>
          <w:rFonts w:cs="Tahoma"/>
          <w:b/>
          <w:sz w:val="24"/>
        </w:rPr>
      </w:pPr>
    </w:p>
    <w:p w14:paraId="714409DC" w14:textId="102573A7" w:rsidR="00080B1C" w:rsidRPr="00080B1C" w:rsidRDefault="00080B1C" w:rsidP="00080B1C">
      <w:pPr>
        <w:ind w:left="0"/>
        <w:rPr>
          <w:rFonts w:cs="Tahoma"/>
          <w:b/>
          <w:sz w:val="24"/>
        </w:rPr>
      </w:pPr>
      <w:r w:rsidRPr="00080B1C">
        <w:rPr>
          <w:rFonts w:cs="Tahoma"/>
          <w:b/>
          <w:sz w:val="24"/>
        </w:rPr>
        <w:t>Instalacja telewizji dozorowej CCTV</w:t>
      </w:r>
    </w:p>
    <w:p w14:paraId="5A3B400C" w14:textId="2EC186D2" w:rsidR="00080B1C" w:rsidRDefault="00080B1C" w:rsidP="00080B1C">
      <w:pPr>
        <w:ind w:left="0"/>
        <w:rPr>
          <w:rFonts w:cs="Tahoma"/>
          <w:szCs w:val="22"/>
        </w:rPr>
      </w:pPr>
      <w:r>
        <w:rPr>
          <w:rFonts w:cs="Tahoma"/>
          <w:szCs w:val="22"/>
        </w:rPr>
        <w:t>Istniejący na obiekcie s</w:t>
      </w:r>
      <w:r w:rsidRPr="007E6031">
        <w:rPr>
          <w:rFonts w:cs="Tahoma"/>
          <w:szCs w:val="22"/>
        </w:rPr>
        <w:t xml:space="preserve">ystem zarządzania sygnałem wizyjnym to oparte na technologii IP rozwiązanie w architekturze klient/serwer. System umożliwia zintegrowane zarządzanie cyfrowym sygnałem wizyjnym, dźwiękowym i danymi w wybudowanej sieci IP. </w:t>
      </w:r>
      <w:r w:rsidRPr="00080B1C">
        <w:rPr>
          <w:rStyle w:val="fontstyle01"/>
          <w:rFonts w:ascii="Tahoma" w:hAnsi="Tahoma" w:cs="Tahoma"/>
        </w:rPr>
        <w:t>System</w:t>
      </w:r>
      <w:r w:rsidRPr="007E6031">
        <w:rPr>
          <w:rFonts w:cs="Tahoma"/>
          <w:szCs w:val="22"/>
        </w:rPr>
        <w:t xml:space="preserve"> zarządzania sygnałem wizyjnym jest przeznaczony do współpracy z istniejącymi na obiekcie produktami z linii Bosch CCTV oraz zgodnymi ze standardem ONVIF urządzeniami innych producentów. Kamery, rejestratory oraz stacje do wyświetlania mogą być umieszczone w</w:t>
      </w:r>
      <w:r w:rsidR="00745147">
        <w:rPr>
          <w:rFonts w:cs="Tahoma"/>
          <w:szCs w:val="22"/>
        </w:rPr>
        <w:t> </w:t>
      </w:r>
      <w:r w:rsidRPr="007E6031">
        <w:rPr>
          <w:rFonts w:cs="Tahoma"/>
          <w:szCs w:val="22"/>
        </w:rPr>
        <w:t>dowolnym miejscu w sieci IP.</w:t>
      </w:r>
    </w:p>
    <w:p w14:paraId="182BF8FE" w14:textId="1AD9732C" w:rsidR="00080B1C" w:rsidRDefault="00080B1C" w:rsidP="00080B1C">
      <w:pPr>
        <w:ind w:left="0"/>
        <w:rPr>
          <w:rFonts w:cs="Tahoma"/>
          <w:szCs w:val="22"/>
        </w:rPr>
      </w:pPr>
      <w:r w:rsidRPr="00EF5594">
        <w:rPr>
          <w:rFonts w:cs="Tahoma"/>
          <w:szCs w:val="22"/>
        </w:rPr>
        <w:t xml:space="preserve">W związku z </w:t>
      </w:r>
      <w:r>
        <w:rPr>
          <w:rFonts w:cs="Tahoma"/>
          <w:szCs w:val="22"/>
        </w:rPr>
        <w:t>p</w:t>
      </w:r>
      <w:r w:rsidRPr="00EF5594">
        <w:rPr>
          <w:rFonts w:cs="Tahoma"/>
          <w:szCs w:val="22"/>
        </w:rPr>
        <w:t>rzebudow</w:t>
      </w:r>
      <w:r>
        <w:rPr>
          <w:rFonts w:cs="Tahoma"/>
          <w:szCs w:val="22"/>
        </w:rPr>
        <w:t xml:space="preserve">ą </w:t>
      </w:r>
      <w:r w:rsidR="0088383F">
        <w:rPr>
          <w:rFonts w:cs="Tahoma"/>
          <w:szCs w:val="22"/>
        </w:rPr>
        <w:t>hali odlotów</w:t>
      </w:r>
      <w:r>
        <w:rPr>
          <w:rFonts w:cs="Tahoma"/>
          <w:szCs w:val="22"/>
        </w:rPr>
        <w:t xml:space="preserve"> zmianie ulega lokalizacja punktów kamerowych systemu telewizji dozorowej. </w:t>
      </w:r>
    </w:p>
    <w:p w14:paraId="133DD193" w14:textId="77777777" w:rsidR="0088383F" w:rsidRPr="00080B1C" w:rsidRDefault="0088383F" w:rsidP="0088383F">
      <w:pPr>
        <w:pStyle w:val="Akapitzlist"/>
        <w:ind w:left="0"/>
        <w:rPr>
          <w:rFonts w:cs="Tahoma"/>
        </w:rPr>
      </w:pPr>
      <w:r w:rsidRPr="00080B1C">
        <w:rPr>
          <w:rFonts w:cs="Tahoma"/>
        </w:rPr>
        <w:t>Kamera K2-53 po demontażu zostanie przeniesiona na nowe miejsce.</w:t>
      </w:r>
    </w:p>
    <w:p w14:paraId="459DB13E" w14:textId="77777777" w:rsidR="0088383F" w:rsidRPr="00080B1C" w:rsidRDefault="0088383F" w:rsidP="0088383F">
      <w:pPr>
        <w:pStyle w:val="Akapitzlist"/>
        <w:ind w:left="0"/>
        <w:rPr>
          <w:rFonts w:cs="Tahoma"/>
        </w:rPr>
      </w:pPr>
      <w:r w:rsidRPr="00080B1C">
        <w:rPr>
          <w:rFonts w:cs="Tahoma"/>
        </w:rPr>
        <w:t>Kamera K2-54 po demontażu zostanie przeniesiona na nowe miejsce.</w:t>
      </w:r>
    </w:p>
    <w:p w14:paraId="4DA5843E" w14:textId="77777777" w:rsidR="0088383F" w:rsidRPr="00080B1C" w:rsidRDefault="0088383F" w:rsidP="0088383F">
      <w:pPr>
        <w:pStyle w:val="Akapitzlist"/>
        <w:ind w:left="0"/>
        <w:rPr>
          <w:rFonts w:cs="Tahoma"/>
        </w:rPr>
      </w:pPr>
      <w:r w:rsidRPr="00080B1C">
        <w:rPr>
          <w:rFonts w:cs="Tahoma"/>
        </w:rPr>
        <w:t>Po wykonaniu prac należy uzgodnić z Zamawiającym prawidłowość widoków z kamer oraz sprawdzić prawidłowość rejestracji obrazów w systemie BVMS Bosch.</w:t>
      </w:r>
    </w:p>
    <w:p w14:paraId="4D6ABF68" w14:textId="77777777" w:rsidR="0088383F" w:rsidRDefault="0088383F" w:rsidP="00080B1C">
      <w:pPr>
        <w:ind w:left="0"/>
        <w:rPr>
          <w:rFonts w:cs="Tahoma"/>
          <w:bCs/>
          <w:szCs w:val="22"/>
        </w:rPr>
      </w:pPr>
    </w:p>
    <w:p w14:paraId="77D52580" w14:textId="4CBCA8C6" w:rsidR="006851AE" w:rsidRPr="00080B1C" w:rsidRDefault="006851AE" w:rsidP="006851AE">
      <w:pPr>
        <w:ind w:left="0"/>
        <w:rPr>
          <w:rFonts w:cs="Tahoma"/>
          <w:b/>
          <w:sz w:val="24"/>
        </w:rPr>
      </w:pPr>
      <w:r w:rsidRPr="00080B1C">
        <w:rPr>
          <w:rFonts w:cs="Tahoma"/>
          <w:b/>
          <w:sz w:val="24"/>
        </w:rPr>
        <w:t xml:space="preserve">Instalacja </w:t>
      </w:r>
      <w:r>
        <w:rPr>
          <w:rFonts w:cs="Tahoma"/>
          <w:b/>
          <w:sz w:val="24"/>
        </w:rPr>
        <w:t>systemu DSO</w:t>
      </w:r>
    </w:p>
    <w:p w14:paraId="5E1AF874" w14:textId="36B90A60" w:rsidR="006851AE" w:rsidRDefault="006851AE" w:rsidP="000660B8">
      <w:pPr>
        <w:ind w:left="0"/>
        <w:rPr>
          <w:rFonts w:cs="Tahoma"/>
          <w:szCs w:val="22"/>
        </w:rPr>
      </w:pPr>
      <w:r>
        <w:rPr>
          <w:rFonts w:cs="Tahoma"/>
          <w:szCs w:val="22"/>
        </w:rPr>
        <w:t>Istniejący na obiekcie s</w:t>
      </w:r>
      <w:r w:rsidRPr="007E6031">
        <w:rPr>
          <w:rFonts w:cs="Tahoma"/>
          <w:szCs w:val="22"/>
        </w:rPr>
        <w:t xml:space="preserve">ystem </w:t>
      </w:r>
      <w:r>
        <w:rPr>
          <w:rFonts w:cs="Tahoma"/>
          <w:szCs w:val="22"/>
        </w:rPr>
        <w:t xml:space="preserve">Dźwiękowego Systemu Ostrzegawczego to </w:t>
      </w:r>
      <w:r w:rsidRPr="00080B1C">
        <w:rPr>
          <w:rFonts w:cs="Tahoma"/>
        </w:rPr>
        <w:t xml:space="preserve">Praesideo </w:t>
      </w:r>
      <w:r>
        <w:rPr>
          <w:rFonts w:ascii="Verdana" w:hAnsi="Verdana"/>
        </w:rPr>
        <w:t>firmy Bosch</w:t>
      </w:r>
      <w:r w:rsidRPr="007E6031">
        <w:rPr>
          <w:rFonts w:cs="Tahoma"/>
          <w:szCs w:val="22"/>
        </w:rPr>
        <w:t>.</w:t>
      </w:r>
    </w:p>
    <w:p w14:paraId="0D551C41" w14:textId="57BB88B6" w:rsidR="006851AE" w:rsidRDefault="006851AE" w:rsidP="000660B8">
      <w:pPr>
        <w:ind w:left="0"/>
        <w:rPr>
          <w:rFonts w:ascii="Verdana" w:hAnsi="Verdana"/>
        </w:rPr>
      </w:pPr>
      <w:r>
        <w:rPr>
          <w:rFonts w:ascii="Verdana" w:hAnsi="Verdana"/>
        </w:rPr>
        <w:t>W skład systemu DSO sali odlotów wchodzą następujące urządzenia:</w:t>
      </w:r>
    </w:p>
    <w:p w14:paraId="1529A94E" w14:textId="5078924C" w:rsidR="006851AE" w:rsidRDefault="006851AE" w:rsidP="000660B8">
      <w:pPr>
        <w:ind w:left="0"/>
        <w:rPr>
          <w:rFonts w:ascii="Verdana" w:hAnsi="Verdana"/>
        </w:rPr>
      </w:pPr>
      <w:r>
        <w:rPr>
          <w:rFonts w:ascii="Verdana" w:hAnsi="Verdana"/>
        </w:rPr>
        <w:t>- kontroler sieciowy,</w:t>
      </w:r>
    </w:p>
    <w:p w14:paraId="7A50D7F2" w14:textId="3C9141D4" w:rsidR="006851AE" w:rsidRDefault="006851AE" w:rsidP="000660B8">
      <w:pPr>
        <w:ind w:left="0"/>
        <w:rPr>
          <w:rFonts w:ascii="Verdana" w:hAnsi="Verdana"/>
        </w:rPr>
      </w:pPr>
      <w:r>
        <w:rPr>
          <w:rFonts w:ascii="Verdana" w:hAnsi="Verdana"/>
        </w:rPr>
        <w:t>- wzmacniacze mocy,</w:t>
      </w:r>
    </w:p>
    <w:p w14:paraId="0A794B1D" w14:textId="2B974226" w:rsidR="006851AE" w:rsidRDefault="006851AE" w:rsidP="000660B8">
      <w:pPr>
        <w:ind w:left="0"/>
        <w:rPr>
          <w:rFonts w:ascii="Verdana" w:hAnsi="Verdana"/>
        </w:rPr>
      </w:pPr>
      <w:r>
        <w:rPr>
          <w:rFonts w:ascii="Verdana" w:hAnsi="Verdana"/>
        </w:rPr>
        <w:t>- stacje wywoławcze,</w:t>
      </w:r>
    </w:p>
    <w:p w14:paraId="6A435619" w14:textId="64D1875D" w:rsidR="006851AE" w:rsidRPr="008E4C7B" w:rsidRDefault="006851AE" w:rsidP="000660B8">
      <w:pPr>
        <w:ind w:left="0"/>
        <w:rPr>
          <w:rFonts w:ascii="Verdana" w:hAnsi="Verdana"/>
        </w:rPr>
      </w:pPr>
      <w:r>
        <w:rPr>
          <w:rFonts w:ascii="Verdana" w:hAnsi="Verdana"/>
        </w:rPr>
        <w:t>- głośniki.</w:t>
      </w:r>
    </w:p>
    <w:p w14:paraId="4B10DAA4" w14:textId="4279C7BB" w:rsidR="006851AE" w:rsidRDefault="006851AE" w:rsidP="000660B8">
      <w:pPr>
        <w:ind w:left="0"/>
        <w:rPr>
          <w:rFonts w:cs="Tahoma"/>
          <w:bCs/>
          <w:szCs w:val="22"/>
        </w:rPr>
      </w:pPr>
      <w:r w:rsidRPr="00EF5594">
        <w:rPr>
          <w:rFonts w:cs="Tahoma"/>
          <w:szCs w:val="22"/>
        </w:rPr>
        <w:lastRenderedPageBreak/>
        <w:t xml:space="preserve">W związku z </w:t>
      </w:r>
      <w:r>
        <w:rPr>
          <w:rFonts w:cs="Tahoma"/>
          <w:szCs w:val="22"/>
        </w:rPr>
        <w:t>p</w:t>
      </w:r>
      <w:r w:rsidRPr="00EF5594">
        <w:rPr>
          <w:rFonts w:cs="Tahoma"/>
          <w:szCs w:val="22"/>
        </w:rPr>
        <w:t>rzebudow</w:t>
      </w:r>
      <w:r>
        <w:rPr>
          <w:rFonts w:cs="Tahoma"/>
          <w:szCs w:val="22"/>
        </w:rPr>
        <w:t>ą hali odlotów zmianie ulega lokalizacja głośników systemu.</w:t>
      </w:r>
    </w:p>
    <w:p w14:paraId="2772D457" w14:textId="13FAF2B1" w:rsidR="006851AE" w:rsidRPr="00080B1C" w:rsidRDefault="006851AE" w:rsidP="000660B8">
      <w:pPr>
        <w:pStyle w:val="Akapitzlist"/>
        <w:ind w:left="0"/>
        <w:rPr>
          <w:rFonts w:cs="Tahoma"/>
        </w:rPr>
      </w:pPr>
      <w:r w:rsidRPr="00080B1C">
        <w:rPr>
          <w:rFonts w:cs="Tahoma"/>
        </w:rPr>
        <w:t>Głośnik L15/6 po demontażu zostanie przeniesion</w:t>
      </w:r>
      <w:r>
        <w:rPr>
          <w:rFonts w:cs="Tahoma"/>
        </w:rPr>
        <w:t>y</w:t>
      </w:r>
      <w:r w:rsidRPr="00080B1C">
        <w:rPr>
          <w:rFonts w:cs="Tahoma"/>
        </w:rPr>
        <w:t xml:space="preserve"> na nowe miejsce.</w:t>
      </w:r>
    </w:p>
    <w:p w14:paraId="7B48DFCC" w14:textId="5177CE17" w:rsidR="006851AE" w:rsidRPr="00080B1C" w:rsidRDefault="006851AE" w:rsidP="000660B8">
      <w:pPr>
        <w:pStyle w:val="Akapitzlist"/>
        <w:ind w:left="0"/>
        <w:rPr>
          <w:rFonts w:cs="Tahoma"/>
        </w:rPr>
      </w:pPr>
      <w:r w:rsidRPr="00080B1C">
        <w:rPr>
          <w:rFonts w:cs="Tahoma"/>
        </w:rPr>
        <w:t>Głośnik L16/1 po demontażu zostanie przeniesion</w:t>
      </w:r>
      <w:r>
        <w:rPr>
          <w:rFonts w:cs="Tahoma"/>
        </w:rPr>
        <w:t>y</w:t>
      </w:r>
      <w:r w:rsidRPr="00080B1C">
        <w:rPr>
          <w:rFonts w:cs="Tahoma"/>
        </w:rPr>
        <w:t xml:space="preserve"> na nowe miejsce.</w:t>
      </w:r>
    </w:p>
    <w:p w14:paraId="35BE9F47" w14:textId="77777777" w:rsidR="006851AE" w:rsidRPr="00080B1C" w:rsidRDefault="006851AE" w:rsidP="000660B8">
      <w:pPr>
        <w:pStyle w:val="Akapitzlist"/>
        <w:ind w:left="0"/>
        <w:rPr>
          <w:rFonts w:cs="Tahoma"/>
        </w:rPr>
      </w:pPr>
      <w:r w:rsidRPr="00080B1C">
        <w:rPr>
          <w:rFonts w:cs="Tahoma"/>
        </w:rPr>
        <w:t>Zostanie dodany nowy głośnik L16/1a.</w:t>
      </w:r>
    </w:p>
    <w:p w14:paraId="6CF13E88" w14:textId="77777777" w:rsidR="006851AE" w:rsidRPr="00080B1C" w:rsidRDefault="006851AE" w:rsidP="000660B8">
      <w:pPr>
        <w:pStyle w:val="Akapitzlist"/>
        <w:ind w:left="0"/>
        <w:rPr>
          <w:rFonts w:cs="Tahoma"/>
        </w:rPr>
      </w:pPr>
      <w:r w:rsidRPr="00080B1C">
        <w:rPr>
          <w:rFonts w:cs="Tahoma"/>
        </w:rPr>
        <w:t>Po wykonaniu prac należy sprawdzić prawidłowość działania na sterowniku Praesideo Bosch.</w:t>
      </w:r>
    </w:p>
    <w:p w14:paraId="484E1DAC" w14:textId="77777777" w:rsidR="006851AE" w:rsidRDefault="006851AE" w:rsidP="00080B1C">
      <w:pPr>
        <w:ind w:left="0"/>
        <w:rPr>
          <w:rFonts w:cs="Tahoma"/>
          <w:bCs/>
          <w:szCs w:val="22"/>
        </w:rPr>
      </w:pPr>
    </w:p>
    <w:p w14:paraId="4DCFDD9B" w14:textId="52027860" w:rsidR="006851AE" w:rsidRPr="00080B1C" w:rsidRDefault="006851AE" w:rsidP="006851AE">
      <w:pPr>
        <w:ind w:left="0"/>
        <w:rPr>
          <w:rFonts w:cs="Tahoma"/>
          <w:b/>
          <w:sz w:val="24"/>
        </w:rPr>
      </w:pPr>
      <w:r w:rsidRPr="00080B1C">
        <w:rPr>
          <w:rFonts w:cs="Tahoma"/>
          <w:b/>
          <w:sz w:val="24"/>
        </w:rPr>
        <w:t xml:space="preserve">Instalacja </w:t>
      </w:r>
      <w:r>
        <w:rPr>
          <w:rFonts w:cs="Tahoma"/>
          <w:b/>
          <w:sz w:val="24"/>
        </w:rPr>
        <w:t>systemu SOP</w:t>
      </w:r>
    </w:p>
    <w:p w14:paraId="3A7568E9" w14:textId="58ABEB24" w:rsidR="006851AE" w:rsidRDefault="006851AE" w:rsidP="006851AE">
      <w:pPr>
        <w:ind w:left="0"/>
        <w:rPr>
          <w:rFonts w:cs="Tahoma"/>
          <w:szCs w:val="22"/>
        </w:rPr>
      </w:pPr>
      <w:r>
        <w:rPr>
          <w:rFonts w:cs="Tahoma"/>
          <w:szCs w:val="22"/>
        </w:rPr>
        <w:t>Należy wykonać zmianę lokalizacji monitorów Systemu Obsługi Pasażerów</w:t>
      </w:r>
      <w:r w:rsidRPr="007E6031">
        <w:rPr>
          <w:rFonts w:cs="Tahoma"/>
          <w:szCs w:val="22"/>
        </w:rPr>
        <w:t>.</w:t>
      </w:r>
    </w:p>
    <w:p w14:paraId="6B03B9A7" w14:textId="77777777" w:rsidR="006851AE" w:rsidRPr="00080B1C" w:rsidRDefault="006851AE" w:rsidP="006851AE">
      <w:pPr>
        <w:pStyle w:val="Akapitzlist"/>
        <w:ind w:left="0"/>
        <w:rPr>
          <w:rFonts w:cs="Tahoma"/>
        </w:rPr>
      </w:pPr>
      <w:r w:rsidRPr="00080B1C">
        <w:rPr>
          <w:rFonts w:cs="Tahoma"/>
        </w:rPr>
        <w:t>Punkt SOP TV1 po demontażu zostanie przeniesiony na nowe miejsce.</w:t>
      </w:r>
    </w:p>
    <w:p w14:paraId="08F62180" w14:textId="77777777" w:rsidR="006851AE" w:rsidRPr="00080B1C" w:rsidRDefault="006851AE" w:rsidP="006851AE">
      <w:pPr>
        <w:pStyle w:val="Akapitzlist"/>
        <w:ind w:left="0"/>
        <w:rPr>
          <w:rFonts w:cs="Tahoma"/>
        </w:rPr>
      </w:pPr>
      <w:r w:rsidRPr="00080B1C">
        <w:rPr>
          <w:rFonts w:cs="Tahoma"/>
        </w:rPr>
        <w:t>Punkt SOP TV2 po demontażu zostanie przeniesiony na nowe miejsce.</w:t>
      </w:r>
    </w:p>
    <w:p w14:paraId="656FD947" w14:textId="77777777" w:rsidR="006851AE" w:rsidRPr="00080B1C" w:rsidRDefault="006851AE" w:rsidP="006851AE">
      <w:pPr>
        <w:pStyle w:val="Akapitzlist"/>
        <w:ind w:left="0"/>
        <w:rPr>
          <w:rFonts w:cs="Tahoma"/>
        </w:rPr>
      </w:pPr>
      <w:r w:rsidRPr="00080B1C">
        <w:rPr>
          <w:rFonts w:cs="Tahoma"/>
        </w:rPr>
        <w:t>Po wykonaniu prac należy sprawdzić prawidłowość wyświetlania informacji systemu SOP.</w:t>
      </w:r>
    </w:p>
    <w:p w14:paraId="53BB26E4" w14:textId="77777777" w:rsidR="006851AE" w:rsidRDefault="006851AE" w:rsidP="00080B1C">
      <w:pPr>
        <w:ind w:left="0"/>
        <w:rPr>
          <w:rFonts w:cs="Tahoma"/>
          <w:bCs/>
          <w:szCs w:val="22"/>
        </w:rPr>
      </w:pPr>
    </w:p>
    <w:p w14:paraId="49379CFC" w14:textId="1A8C26C1" w:rsidR="006B7AFC" w:rsidRPr="00080B1C" w:rsidRDefault="006B7AFC" w:rsidP="006B7AFC">
      <w:pPr>
        <w:ind w:left="0"/>
        <w:rPr>
          <w:rFonts w:cs="Tahoma"/>
          <w:b/>
          <w:sz w:val="24"/>
        </w:rPr>
      </w:pPr>
      <w:r w:rsidRPr="00080B1C">
        <w:rPr>
          <w:rFonts w:cs="Tahoma"/>
          <w:b/>
          <w:sz w:val="24"/>
        </w:rPr>
        <w:t xml:space="preserve">Instalacja </w:t>
      </w:r>
      <w:r>
        <w:rPr>
          <w:rFonts w:cs="Tahoma"/>
          <w:b/>
          <w:sz w:val="24"/>
        </w:rPr>
        <w:t>elektryczna</w:t>
      </w:r>
    </w:p>
    <w:p w14:paraId="758E5D50" w14:textId="270D3E14" w:rsidR="006B7AFC" w:rsidRDefault="006B7AFC" w:rsidP="006B7AFC">
      <w:pPr>
        <w:ind w:left="0"/>
        <w:rPr>
          <w:rFonts w:cs="Tahoma"/>
          <w:szCs w:val="22"/>
        </w:rPr>
      </w:pPr>
      <w:r>
        <w:rPr>
          <w:rFonts w:cs="Tahoma"/>
          <w:szCs w:val="22"/>
        </w:rPr>
        <w:t>Należy wykonać zmianę lokalizacji zestawów oświetleniowych, które kolidują z trasą nowoprojektowane szklanej ściany</w:t>
      </w:r>
      <w:r w:rsidRPr="007E6031">
        <w:rPr>
          <w:rFonts w:cs="Tahoma"/>
          <w:szCs w:val="22"/>
        </w:rPr>
        <w:t>.</w:t>
      </w:r>
    </w:p>
    <w:p w14:paraId="7FE2621C" w14:textId="77777777" w:rsidR="006B7AFC" w:rsidRPr="00080B1C" w:rsidRDefault="006B7AFC" w:rsidP="006B7AFC">
      <w:pPr>
        <w:pStyle w:val="Akapitzlist"/>
        <w:ind w:left="0"/>
        <w:rPr>
          <w:rFonts w:cs="Tahoma"/>
        </w:rPr>
      </w:pPr>
      <w:r w:rsidRPr="00080B1C">
        <w:rPr>
          <w:rFonts w:cs="Tahoma"/>
        </w:rPr>
        <w:t>Zestaw oświetleniowy Ośw.-1 zostanie rozdzielony na dwa elementy: ZO-1aN oraz ZO-1bN.</w:t>
      </w:r>
    </w:p>
    <w:p w14:paraId="2ADABD51" w14:textId="71E1900E" w:rsidR="006B7AFC" w:rsidRPr="00080B1C" w:rsidRDefault="006B7AFC" w:rsidP="006B7AFC">
      <w:pPr>
        <w:pStyle w:val="Akapitzlist"/>
        <w:ind w:left="0"/>
        <w:rPr>
          <w:rFonts w:cs="Tahoma"/>
        </w:rPr>
      </w:pPr>
      <w:r w:rsidRPr="00080B1C">
        <w:rPr>
          <w:rFonts w:cs="Tahoma"/>
        </w:rPr>
        <w:t>Zestawy ZO-2 i ZO-3 po demontażu zostaną przeniesion</w:t>
      </w:r>
      <w:r>
        <w:rPr>
          <w:rFonts w:cs="Tahoma"/>
        </w:rPr>
        <w:t>e do nowej lokalizacji</w:t>
      </w:r>
      <w:r w:rsidRPr="00080B1C">
        <w:rPr>
          <w:rFonts w:cs="Tahoma"/>
        </w:rPr>
        <w:t>.</w:t>
      </w:r>
    </w:p>
    <w:p w14:paraId="592E588B" w14:textId="2486A6AA" w:rsidR="006B7AFC" w:rsidRPr="00080B1C" w:rsidRDefault="006B7AFC" w:rsidP="006B7AFC">
      <w:pPr>
        <w:pStyle w:val="Akapitzlist"/>
        <w:ind w:left="0"/>
        <w:rPr>
          <w:rFonts w:cs="Tahoma"/>
        </w:rPr>
      </w:pPr>
      <w:r w:rsidRPr="00080B1C">
        <w:rPr>
          <w:rFonts w:cs="Tahoma"/>
        </w:rPr>
        <w:t xml:space="preserve">Po wykonaniu prac należy sprawdzić prawidłowość </w:t>
      </w:r>
      <w:r>
        <w:rPr>
          <w:rFonts w:cs="Tahoma"/>
        </w:rPr>
        <w:t>działania lamp oświetleniowych</w:t>
      </w:r>
      <w:r w:rsidRPr="00080B1C">
        <w:rPr>
          <w:rFonts w:cs="Tahoma"/>
        </w:rPr>
        <w:t>.</w:t>
      </w:r>
    </w:p>
    <w:p w14:paraId="1E58A17B" w14:textId="77777777" w:rsidR="006B7AFC" w:rsidRPr="00080B1C" w:rsidRDefault="006B7AFC" w:rsidP="00080B1C">
      <w:pPr>
        <w:ind w:left="0"/>
        <w:rPr>
          <w:rFonts w:cs="Tahoma"/>
          <w:bCs/>
          <w:szCs w:val="22"/>
        </w:rPr>
      </w:pPr>
    </w:p>
    <w:p w14:paraId="534AE23E" w14:textId="054C88D7" w:rsidR="00FE4807" w:rsidRPr="006B7AFC" w:rsidRDefault="00363C81" w:rsidP="006B7AFC">
      <w:pPr>
        <w:ind w:left="0"/>
        <w:rPr>
          <w:rFonts w:cs="Tahoma"/>
          <w:b/>
          <w:sz w:val="24"/>
        </w:rPr>
      </w:pPr>
      <w:bookmarkStart w:id="1" w:name="_Toc406481589"/>
      <w:r>
        <w:rPr>
          <w:rFonts w:cs="Tahoma"/>
          <w:b/>
          <w:sz w:val="24"/>
        </w:rPr>
        <w:t>Lokalizacja p</w:t>
      </w:r>
      <w:r w:rsidR="005C1878" w:rsidRPr="006B7AFC">
        <w:rPr>
          <w:rFonts w:cs="Tahoma"/>
          <w:b/>
          <w:sz w:val="24"/>
        </w:rPr>
        <w:t>ro</w:t>
      </w:r>
      <w:r w:rsidR="00814028" w:rsidRPr="006B7AFC">
        <w:rPr>
          <w:rFonts w:cs="Tahoma"/>
          <w:b/>
          <w:sz w:val="24"/>
        </w:rPr>
        <w:t>jektowan</w:t>
      </w:r>
      <w:r>
        <w:rPr>
          <w:rFonts w:cs="Tahoma"/>
          <w:b/>
          <w:sz w:val="24"/>
        </w:rPr>
        <w:t>ych</w:t>
      </w:r>
      <w:r w:rsidR="00E6013A" w:rsidRPr="006B7AFC">
        <w:rPr>
          <w:rFonts w:cs="Tahoma"/>
          <w:b/>
          <w:sz w:val="24"/>
        </w:rPr>
        <w:t xml:space="preserve"> </w:t>
      </w:r>
      <w:bookmarkEnd w:id="1"/>
      <w:r>
        <w:rPr>
          <w:rFonts w:cs="Tahoma"/>
          <w:b/>
          <w:sz w:val="24"/>
        </w:rPr>
        <w:t>zmian</w:t>
      </w:r>
    </w:p>
    <w:p w14:paraId="38D10C83" w14:textId="6E47C0FC" w:rsidR="007F0D3F" w:rsidRPr="00080B1C" w:rsidRDefault="007F0D3F" w:rsidP="006B7AFC">
      <w:pPr>
        <w:pStyle w:val="Akapitzlist"/>
        <w:ind w:left="0"/>
        <w:rPr>
          <w:rFonts w:cs="Tahoma"/>
        </w:rPr>
      </w:pPr>
      <w:r w:rsidRPr="00080B1C">
        <w:rPr>
          <w:rFonts w:cs="Tahoma"/>
        </w:rPr>
        <w:t>Aktualne oraz projektowane lokalizacje poszczególnych elementów zostały przedstawione na rysunkach</w:t>
      </w:r>
      <w:r w:rsidR="00245114">
        <w:rPr>
          <w:rFonts w:cs="Tahoma"/>
        </w:rPr>
        <w:t>.</w:t>
      </w:r>
    </w:p>
    <w:p w14:paraId="2AD78EEA" w14:textId="77777777" w:rsidR="007F0D3F" w:rsidRPr="00080B1C" w:rsidRDefault="007F0D3F" w:rsidP="007F0D3F">
      <w:pPr>
        <w:pStyle w:val="Akapitzlist"/>
        <w:ind w:left="757"/>
        <w:rPr>
          <w:rFonts w:cs="Tahoma"/>
        </w:rPr>
      </w:pPr>
    </w:p>
    <w:p w14:paraId="24B742C3" w14:textId="77777777" w:rsidR="005C1878" w:rsidRPr="00363C81" w:rsidRDefault="005C1878" w:rsidP="00363C81">
      <w:pPr>
        <w:ind w:left="0"/>
        <w:rPr>
          <w:rFonts w:cs="Tahoma"/>
          <w:b/>
          <w:sz w:val="24"/>
        </w:rPr>
      </w:pPr>
      <w:r w:rsidRPr="00363C81">
        <w:rPr>
          <w:rFonts w:cs="Tahoma"/>
          <w:b/>
          <w:sz w:val="24"/>
        </w:rPr>
        <w:t>Pomiary</w:t>
      </w:r>
    </w:p>
    <w:p w14:paraId="1B603517" w14:textId="7D038C98" w:rsidR="00814028" w:rsidRPr="00080B1C" w:rsidRDefault="00814028" w:rsidP="00363C81">
      <w:pPr>
        <w:pStyle w:val="Akapitzlist"/>
        <w:ind w:left="0"/>
        <w:rPr>
          <w:rFonts w:cs="Tahoma"/>
        </w:rPr>
      </w:pPr>
      <w:r w:rsidRPr="00080B1C">
        <w:rPr>
          <w:rFonts w:cs="Tahoma"/>
        </w:rPr>
        <w:t>Po wykonaniu instalacji należy wykonać pomiary:</w:t>
      </w:r>
    </w:p>
    <w:p w14:paraId="7E3615B9" w14:textId="17B988E5" w:rsidR="00814028" w:rsidRPr="00080B1C" w:rsidRDefault="00814028" w:rsidP="00363C81">
      <w:pPr>
        <w:pStyle w:val="Akapitzlist"/>
        <w:ind w:left="284"/>
        <w:rPr>
          <w:rFonts w:cs="Tahoma"/>
        </w:rPr>
      </w:pPr>
      <w:r w:rsidRPr="00080B1C">
        <w:rPr>
          <w:rFonts w:cs="Tahoma"/>
        </w:rPr>
        <w:t>- natężenia oświetlenia</w:t>
      </w:r>
    </w:p>
    <w:p w14:paraId="0B816448" w14:textId="1AA6BA9F" w:rsidR="00814028" w:rsidRPr="00080B1C" w:rsidRDefault="00814028" w:rsidP="00363C81">
      <w:pPr>
        <w:pStyle w:val="Akapitzlist"/>
        <w:ind w:left="284"/>
        <w:rPr>
          <w:rFonts w:cs="Tahoma"/>
        </w:rPr>
      </w:pPr>
      <w:r w:rsidRPr="00080B1C">
        <w:rPr>
          <w:rFonts w:cs="Tahoma"/>
        </w:rPr>
        <w:t>- instalacji elektrycznej</w:t>
      </w:r>
    </w:p>
    <w:p w14:paraId="30622B05" w14:textId="5F3ED69A" w:rsidR="00814028" w:rsidRPr="00080B1C" w:rsidRDefault="00814028" w:rsidP="00363C81">
      <w:pPr>
        <w:pStyle w:val="Akapitzlist"/>
        <w:ind w:left="284"/>
        <w:rPr>
          <w:rFonts w:cs="Tahoma"/>
        </w:rPr>
      </w:pPr>
      <w:r w:rsidRPr="00080B1C">
        <w:rPr>
          <w:rFonts w:cs="Tahoma"/>
        </w:rPr>
        <w:t>- nagłośnienia</w:t>
      </w:r>
    </w:p>
    <w:p w14:paraId="24DDC6F2" w14:textId="77777777" w:rsidR="00F67509" w:rsidRPr="00745147" w:rsidRDefault="00F67509" w:rsidP="00745147">
      <w:pPr>
        <w:ind w:left="0"/>
        <w:rPr>
          <w:rFonts w:cs="Tahoma"/>
        </w:rPr>
      </w:pPr>
    </w:p>
    <w:p w14:paraId="289036FC" w14:textId="77777777" w:rsidR="00F67509" w:rsidRPr="00080B1C" w:rsidRDefault="00F67509" w:rsidP="00F67509">
      <w:pPr>
        <w:pStyle w:val="Akapitzlist"/>
        <w:ind w:left="757"/>
        <w:rPr>
          <w:rFonts w:cs="Tahoma"/>
        </w:rPr>
      </w:pPr>
    </w:p>
    <w:sectPr w:rsidR="00F67509" w:rsidRPr="00080B1C" w:rsidSect="004922FC">
      <w:footerReference w:type="even" r:id="rId7"/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E3EEB" w14:textId="77777777" w:rsidR="007F4562" w:rsidRDefault="007F4562">
      <w:r>
        <w:separator/>
      </w:r>
    </w:p>
  </w:endnote>
  <w:endnote w:type="continuationSeparator" w:id="0">
    <w:p w14:paraId="718B9EFC" w14:textId="77777777" w:rsidR="007F4562" w:rsidRDefault="007F4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25AFB" w14:textId="77777777" w:rsidR="00607352" w:rsidRDefault="00607352" w:rsidP="0060735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0C92D39" w14:textId="77777777" w:rsidR="00607352" w:rsidRDefault="00607352" w:rsidP="004922FC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05A76" w14:textId="77777777" w:rsidR="00607352" w:rsidRDefault="00607352" w:rsidP="00607352">
    <w:pPr>
      <w:pStyle w:val="Stopka"/>
      <w:framePr w:wrap="around" w:vAnchor="text" w:hAnchor="margin" w:xAlign="right" w:y="1"/>
      <w:rPr>
        <w:rStyle w:val="Numerstrony"/>
      </w:rPr>
    </w:pPr>
  </w:p>
  <w:p w14:paraId="52CB4F89" w14:textId="77777777" w:rsidR="00607352" w:rsidRDefault="0060735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3298F" w14:textId="77777777" w:rsidR="007F4562" w:rsidRDefault="007F4562">
      <w:r>
        <w:separator/>
      </w:r>
    </w:p>
  </w:footnote>
  <w:footnote w:type="continuationSeparator" w:id="0">
    <w:p w14:paraId="68CD99B9" w14:textId="77777777" w:rsidR="007F4562" w:rsidRDefault="007F4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"/>
      <w:lvlJc w:val="left"/>
      <w:pPr>
        <w:tabs>
          <w:tab w:val="num" w:pos="792"/>
        </w:tabs>
        <w:ind w:left="79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936"/>
        </w:tabs>
        <w:ind w:left="93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1224"/>
        </w:tabs>
        <w:ind w:left="122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368"/>
        </w:tabs>
        <w:ind w:left="136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512"/>
        </w:tabs>
        <w:ind w:left="151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656"/>
        </w:tabs>
        <w:ind w:left="165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944"/>
        </w:tabs>
        <w:ind w:left="1944" w:hanging="1584"/>
      </w:pPr>
    </w:lvl>
  </w:abstractNum>
  <w:abstractNum w:abstractNumId="1" w15:restartNumberingAfterBreak="0">
    <w:nsid w:val="00000002"/>
    <w:multiLevelType w:val="multilevel"/>
    <w:tmpl w:val="00000002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3"/>
    <w:multiLevelType w:val="multilevel"/>
    <w:tmpl w:val="00000003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1BC1733E"/>
    <w:multiLevelType w:val="hybridMultilevel"/>
    <w:tmpl w:val="CC38183A"/>
    <w:lvl w:ilvl="0" w:tplc="B09E371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F043CFD"/>
    <w:multiLevelType w:val="hybridMultilevel"/>
    <w:tmpl w:val="5B10DC14"/>
    <w:lvl w:ilvl="0" w:tplc="DFAED176">
      <w:start w:val="1"/>
      <w:numFmt w:val="decimal"/>
      <w:lvlText w:val="%1."/>
      <w:lvlJc w:val="left"/>
      <w:pPr>
        <w:ind w:left="757" w:hanging="360"/>
      </w:pPr>
      <w:rPr>
        <w:rFonts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99D"/>
    <w:rsid w:val="000329ED"/>
    <w:rsid w:val="00034BA4"/>
    <w:rsid w:val="000660B8"/>
    <w:rsid w:val="0007281D"/>
    <w:rsid w:val="00076C81"/>
    <w:rsid w:val="00080B1C"/>
    <w:rsid w:val="0009442D"/>
    <w:rsid w:val="000B7AF3"/>
    <w:rsid w:val="000C06D2"/>
    <w:rsid w:val="00141000"/>
    <w:rsid w:val="001C0718"/>
    <w:rsid w:val="001C581A"/>
    <w:rsid w:val="001D6630"/>
    <w:rsid w:val="00223F3A"/>
    <w:rsid w:val="00245114"/>
    <w:rsid w:val="002C71ED"/>
    <w:rsid w:val="002E30EF"/>
    <w:rsid w:val="002F24E5"/>
    <w:rsid w:val="003169E2"/>
    <w:rsid w:val="00357D98"/>
    <w:rsid w:val="00363C81"/>
    <w:rsid w:val="003937C4"/>
    <w:rsid w:val="0039749F"/>
    <w:rsid w:val="003B5B76"/>
    <w:rsid w:val="00407555"/>
    <w:rsid w:val="00410E2D"/>
    <w:rsid w:val="0044290A"/>
    <w:rsid w:val="0048269B"/>
    <w:rsid w:val="004922FC"/>
    <w:rsid w:val="004C2102"/>
    <w:rsid w:val="004D4838"/>
    <w:rsid w:val="004E44B8"/>
    <w:rsid w:val="00512EFD"/>
    <w:rsid w:val="00520EC5"/>
    <w:rsid w:val="005601D0"/>
    <w:rsid w:val="00580899"/>
    <w:rsid w:val="00590333"/>
    <w:rsid w:val="005A5AFA"/>
    <w:rsid w:val="005C1878"/>
    <w:rsid w:val="005E3E87"/>
    <w:rsid w:val="00603F30"/>
    <w:rsid w:val="00607352"/>
    <w:rsid w:val="00620202"/>
    <w:rsid w:val="00653906"/>
    <w:rsid w:val="006851AE"/>
    <w:rsid w:val="006B7AFC"/>
    <w:rsid w:val="006E03CB"/>
    <w:rsid w:val="006F1565"/>
    <w:rsid w:val="00745147"/>
    <w:rsid w:val="00753157"/>
    <w:rsid w:val="00772230"/>
    <w:rsid w:val="007A6B70"/>
    <w:rsid w:val="007F0D3F"/>
    <w:rsid w:val="007F4562"/>
    <w:rsid w:val="00813E8E"/>
    <w:rsid w:val="00814028"/>
    <w:rsid w:val="008822AE"/>
    <w:rsid w:val="0088383F"/>
    <w:rsid w:val="008E4424"/>
    <w:rsid w:val="00920209"/>
    <w:rsid w:val="009403DD"/>
    <w:rsid w:val="009A3A2D"/>
    <w:rsid w:val="009B3B00"/>
    <w:rsid w:val="00A053AB"/>
    <w:rsid w:val="00A90009"/>
    <w:rsid w:val="00A95FE4"/>
    <w:rsid w:val="00AA5E02"/>
    <w:rsid w:val="00AB48AC"/>
    <w:rsid w:val="00B017DC"/>
    <w:rsid w:val="00B2015E"/>
    <w:rsid w:val="00B8416E"/>
    <w:rsid w:val="00BB63BD"/>
    <w:rsid w:val="00BC07E6"/>
    <w:rsid w:val="00C047C6"/>
    <w:rsid w:val="00C22A34"/>
    <w:rsid w:val="00C34146"/>
    <w:rsid w:val="00C43C1E"/>
    <w:rsid w:val="00C45FE3"/>
    <w:rsid w:val="00C91871"/>
    <w:rsid w:val="00CB1E4B"/>
    <w:rsid w:val="00CC199D"/>
    <w:rsid w:val="00D356FF"/>
    <w:rsid w:val="00D7350B"/>
    <w:rsid w:val="00D811CA"/>
    <w:rsid w:val="00DE2570"/>
    <w:rsid w:val="00DF185B"/>
    <w:rsid w:val="00E47115"/>
    <w:rsid w:val="00E6013A"/>
    <w:rsid w:val="00E77CB9"/>
    <w:rsid w:val="00E8309B"/>
    <w:rsid w:val="00ED3B2A"/>
    <w:rsid w:val="00F059C5"/>
    <w:rsid w:val="00F559EA"/>
    <w:rsid w:val="00F63E05"/>
    <w:rsid w:val="00F67509"/>
    <w:rsid w:val="00F82A7A"/>
    <w:rsid w:val="00F90E2A"/>
    <w:rsid w:val="00FE3C3D"/>
    <w:rsid w:val="00FE4807"/>
    <w:rsid w:val="00FF7504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8A7F032"/>
  <w15:chartTrackingRefBased/>
  <w15:docId w15:val="{228E6295-92A3-458B-9396-F4921D7A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59C5"/>
    <w:pPr>
      <w:suppressAutoHyphens/>
      <w:spacing w:line="360" w:lineRule="auto"/>
      <w:ind w:left="397"/>
      <w:jc w:val="both"/>
    </w:pPr>
    <w:rPr>
      <w:rFonts w:ascii="Tahoma" w:hAnsi="Tahoma" w:cs="Verdana"/>
      <w:sz w:val="22"/>
      <w:szCs w:val="24"/>
      <w:lang w:eastAsia="ar-SA"/>
    </w:rPr>
  </w:style>
  <w:style w:type="paragraph" w:styleId="Nagwek1">
    <w:name w:val="heading 1"/>
    <w:basedOn w:val="Normalny"/>
    <w:next w:val="Normalny"/>
    <w:qFormat/>
    <w:rsid w:val="00F059C5"/>
    <w:pPr>
      <w:keepNext/>
      <w:pageBreakBefore/>
      <w:numPr>
        <w:numId w:val="1"/>
      </w:numPr>
      <w:spacing w:before="240" w:after="60"/>
      <w:ind w:left="431" w:hanging="431"/>
      <w:outlineLvl w:val="0"/>
    </w:pPr>
    <w:rPr>
      <w:rFonts w:cs="Arial"/>
      <w:b/>
      <w:bCs/>
      <w:kern w:val="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240"/>
      <w:outlineLvl w:val="1"/>
    </w:pPr>
    <w:rPr>
      <w:b/>
      <w:szCs w:val="2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b/>
    </w:rPr>
  </w:style>
  <w:style w:type="character" w:customStyle="1" w:styleId="WW8Num3z0">
    <w:name w:val="WW8Num3z0"/>
    <w:rPr>
      <w:rFonts w:ascii="Verdana" w:hAnsi="Verdana" w:cs="Times New Roman" w:hint="default"/>
      <w:sz w:val="22"/>
      <w:szCs w:val="22"/>
      <w:lang w:val="pl-PL"/>
    </w:rPr>
  </w:style>
  <w:style w:type="character" w:customStyle="1" w:styleId="WW8Num3z2">
    <w:name w:val="WW8Num3z2"/>
    <w:rPr>
      <w:rFonts w:cs="Times New Roman"/>
    </w:rPr>
  </w:style>
  <w:style w:type="character" w:customStyle="1" w:styleId="WW8Num4z0">
    <w:name w:val="WW8Num4z0"/>
    <w:rPr>
      <w:rFonts w:ascii="Verdana" w:hAnsi="Verdana" w:cs="Times New Roman" w:hint="default"/>
      <w:sz w:val="22"/>
      <w:szCs w:val="22"/>
    </w:rPr>
  </w:style>
  <w:style w:type="character" w:customStyle="1" w:styleId="WW8Num4z2">
    <w:name w:val="WW8Num4z2"/>
    <w:rPr>
      <w:rFonts w:cs="Times New Roman"/>
    </w:rPr>
  </w:style>
  <w:style w:type="character" w:customStyle="1" w:styleId="WW8Num5z0">
    <w:name w:val="WW8Num5z0"/>
    <w:rPr>
      <w:rFonts w:cs="Times New Roman" w:hint="default"/>
    </w:rPr>
  </w:style>
  <w:style w:type="character" w:customStyle="1" w:styleId="WW8Num5z1">
    <w:name w:val="WW8Num5z1"/>
    <w:rPr>
      <w:rFonts w:cs="Times New Roman"/>
    </w:rPr>
  </w:style>
  <w:style w:type="character" w:customStyle="1" w:styleId="WW8Num6z0">
    <w:name w:val="WW8Num6z0"/>
    <w:rPr>
      <w:rFonts w:ascii="Verdana" w:hAnsi="Verdana" w:cs="Times New Roman" w:hint="default"/>
      <w:sz w:val="22"/>
      <w:szCs w:val="22"/>
      <w:lang w:val="pl-PL"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ascii="Verdana" w:hAnsi="Verdana" w:cs="Times New Roman" w:hint="default"/>
      <w:sz w:val="22"/>
      <w:szCs w:val="22"/>
      <w:lang w:val="pl-PL"/>
    </w:rPr>
  </w:style>
  <w:style w:type="character" w:customStyle="1" w:styleId="WW8Num7z1">
    <w:name w:val="WW8Num7z1"/>
    <w:rPr>
      <w:rFonts w:cs="Times New Roman"/>
    </w:rPr>
  </w:style>
  <w:style w:type="character" w:customStyle="1" w:styleId="WW8Num8z0">
    <w:name w:val="WW8Num8z0"/>
    <w:rPr>
      <w:rFonts w:ascii="Verdana" w:hAnsi="Verdana" w:cs="Times New Roman" w:hint="default"/>
      <w:sz w:val="22"/>
      <w:szCs w:val="22"/>
      <w:lang w:val="pl-PL"/>
    </w:rPr>
  </w:style>
  <w:style w:type="character" w:customStyle="1" w:styleId="WW8Num8z1">
    <w:name w:val="WW8Num8z1"/>
    <w:rPr>
      <w:rFonts w:ascii="Verdana" w:hAnsi="Verdana" w:cs="Times New Roman"/>
      <w:sz w:val="22"/>
      <w:szCs w:val="22"/>
      <w:lang w:val="pl-PL"/>
    </w:rPr>
  </w:style>
  <w:style w:type="character" w:customStyle="1" w:styleId="WW8Num9z0">
    <w:name w:val="WW8Num9z0"/>
    <w:rPr>
      <w:rFonts w:ascii="Verdana" w:hAnsi="Verdana" w:cs="Times New Roman" w:hint="default"/>
      <w:sz w:val="22"/>
      <w:szCs w:val="22"/>
      <w:lang w:val="pl-PL"/>
    </w:rPr>
  </w:style>
  <w:style w:type="character" w:customStyle="1" w:styleId="WW8Num9z1">
    <w:name w:val="WW8Num9z1"/>
    <w:rPr>
      <w:rFonts w:cs="Times New Roman"/>
    </w:rPr>
  </w:style>
  <w:style w:type="character" w:customStyle="1" w:styleId="WW8Num10z0">
    <w:name w:val="WW8Num10z0"/>
    <w:rPr>
      <w:rFonts w:cs="Times New Roman" w:hint="default"/>
    </w:rPr>
  </w:style>
  <w:style w:type="character" w:customStyle="1" w:styleId="WW8Num10z1">
    <w:name w:val="WW8Num10z1"/>
    <w:rPr>
      <w:rFonts w:cs="Times New Roman"/>
    </w:rPr>
  </w:style>
  <w:style w:type="character" w:customStyle="1" w:styleId="WW8Num11z0">
    <w:name w:val="WW8Num11z0"/>
    <w:rPr>
      <w:rFonts w:cs="Times New Roman" w:hint="default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0">
    <w:name w:val="WW8Num12z0"/>
    <w:rPr>
      <w:rFonts w:ascii="Verdana" w:hAnsi="Verdana" w:cs="Times New Roman"/>
      <w:sz w:val="22"/>
      <w:szCs w:val="22"/>
      <w:lang w:val="pl-PL"/>
    </w:rPr>
  </w:style>
  <w:style w:type="character" w:customStyle="1" w:styleId="WW8Num13z0">
    <w:name w:val="WW8Num13z0"/>
    <w:rPr>
      <w:rFonts w:ascii="Verdana" w:hAnsi="Verdana" w:cs="Times New Roman" w:hint="default"/>
      <w:sz w:val="22"/>
      <w:szCs w:val="22"/>
      <w:lang w:val="pl-PL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cs="Times New Roman" w:hint="default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Verdana" w:hAnsi="Verdana" w:cs="Times New Roman" w:hint="default"/>
      <w:sz w:val="22"/>
      <w:szCs w:val="22"/>
      <w:lang w:val="pl-PL"/>
    </w:rPr>
  </w:style>
  <w:style w:type="character" w:customStyle="1" w:styleId="WW8Num16z1">
    <w:name w:val="WW8Num16z1"/>
    <w:rPr>
      <w:rFonts w:cs="Times New Roman"/>
    </w:rPr>
  </w:style>
  <w:style w:type="character" w:customStyle="1" w:styleId="WW8Num17z0">
    <w:name w:val="WW8Num17z0"/>
    <w:rPr>
      <w:rFonts w:cs="Times New Roman" w:hint="default"/>
    </w:rPr>
  </w:style>
  <w:style w:type="character" w:customStyle="1" w:styleId="WW8Num17z1">
    <w:name w:val="WW8Num17z1"/>
    <w:rPr>
      <w:rFonts w:cs="Times New Roman"/>
    </w:rPr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  <w:rPr>
      <w:rFonts w:ascii="Times New Roman" w:eastAsia="Times New Roman" w:hAnsi="Times New Roman" w:cs="Times New Roman"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Verdana" w:hAnsi="Verdana" w:cs="Times New Roman" w:hint="default"/>
      <w:sz w:val="22"/>
      <w:szCs w:val="22"/>
      <w:lang w:val="pl-P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1z0">
    <w:name w:val="WW8Num21z0"/>
    <w:rPr>
      <w:rFonts w:ascii="Verdana" w:hAnsi="Verdana" w:cs="Times New Roman" w:hint="default"/>
      <w:sz w:val="22"/>
      <w:szCs w:val="22"/>
    </w:rPr>
  </w:style>
  <w:style w:type="character" w:customStyle="1" w:styleId="WW8Num22z0">
    <w:name w:val="WW8Num22z0"/>
    <w:rPr>
      <w:rFonts w:cs="Times New Roman" w:hint="default"/>
    </w:rPr>
  </w:style>
  <w:style w:type="character" w:customStyle="1" w:styleId="WW8Num22z1">
    <w:name w:val="WW8Num22z1"/>
    <w:rPr>
      <w:rFonts w:cs="Times New Roman"/>
    </w:rPr>
  </w:style>
  <w:style w:type="character" w:customStyle="1" w:styleId="WW8Num23z0">
    <w:name w:val="WW8Num23z0"/>
    <w:rPr>
      <w:rFonts w:ascii="Verdana" w:hAnsi="Verdana" w:cs="Times New Roman" w:hint="default"/>
      <w:sz w:val="22"/>
      <w:szCs w:val="22"/>
    </w:rPr>
  </w:style>
  <w:style w:type="character" w:customStyle="1" w:styleId="WW8Num23z1">
    <w:name w:val="WW8Num23z1"/>
    <w:rPr>
      <w:rFonts w:cs="Times New Roman"/>
    </w:rPr>
  </w:style>
  <w:style w:type="character" w:customStyle="1" w:styleId="WW8Num24z0">
    <w:name w:val="WW8Num24z0"/>
    <w:rPr>
      <w:rFonts w:ascii="Verdana" w:hAnsi="Verdana" w:cs="Times New Roman" w:hint="default"/>
      <w:sz w:val="22"/>
      <w:szCs w:val="22"/>
      <w:lang w:val="pl-PL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5z0">
    <w:name w:val="WW8Num25z0"/>
    <w:rPr>
      <w:rFonts w:ascii="Verdana" w:hAnsi="Verdana" w:cs="Times New Roman" w:hint="default"/>
      <w:sz w:val="22"/>
      <w:szCs w:val="22"/>
      <w:lang w:val="pl-PL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cs="Times New Roman"/>
    </w:rPr>
  </w:style>
  <w:style w:type="character" w:customStyle="1" w:styleId="WW8Num27z0">
    <w:name w:val="WW8Num27z0"/>
    <w:rPr>
      <w:rFonts w:ascii="Verdana" w:hAnsi="Verdana" w:cs="Times New Roman" w:hint="default"/>
      <w:sz w:val="22"/>
      <w:szCs w:val="22"/>
      <w:lang w:val="pl-PL"/>
    </w:rPr>
  </w:style>
  <w:style w:type="character" w:customStyle="1" w:styleId="WW8Num27z1">
    <w:name w:val="WW8Num27z1"/>
    <w:rPr>
      <w:rFonts w:cs="Times New Roman"/>
    </w:rPr>
  </w:style>
  <w:style w:type="character" w:customStyle="1" w:styleId="WW8Num28z0">
    <w:name w:val="WW8Num28z0"/>
    <w:rPr>
      <w:rFonts w:ascii="Symbol" w:hAnsi="Symbol" w:cs="Symbol" w:hint="default"/>
      <w:szCs w:val="22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Verdana" w:hAnsi="Verdana" w:cs="Times New Roman" w:hint="default"/>
      <w:sz w:val="22"/>
      <w:szCs w:val="22"/>
      <w:lang w:val="pl-PL"/>
    </w:rPr>
  </w:style>
  <w:style w:type="character" w:customStyle="1" w:styleId="WW8Num29z1">
    <w:name w:val="WW8Num29z1"/>
    <w:rPr>
      <w:rFonts w:cs="Times New Roman"/>
    </w:rPr>
  </w:style>
  <w:style w:type="character" w:customStyle="1" w:styleId="WW8Num30z0">
    <w:name w:val="WW8Num30z0"/>
    <w:rPr>
      <w:rFonts w:ascii="Verdana" w:hAnsi="Verdana" w:cs="Times New Roman" w:hint="default"/>
      <w:sz w:val="22"/>
      <w:szCs w:val="22"/>
      <w:lang w:val="pl-PL"/>
    </w:rPr>
  </w:style>
  <w:style w:type="character" w:customStyle="1" w:styleId="WW8Num30z1">
    <w:name w:val="WW8Num30z1"/>
    <w:rPr>
      <w:rFonts w:cs="Times New Roman"/>
    </w:rPr>
  </w:style>
  <w:style w:type="character" w:customStyle="1" w:styleId="WW8Num31z0">
    <w:name w:val="WW8Num31z0"/>
    <w:rPr>
      <w:rFonts w:ascii="Symbol" w:hAnsi="Symbol" w:cs="Symbol" w:hint="default"/>
      <w:sz w:val="22"/>
      <w:szCs w:val="22"/>
    </w:rPr>
  </w:style>
  <w:style w:type="character" w:customStyle="1" w:styleId="WW8Num31z2">
    <w:name w:val="WW8Num31z2"/>
    <w:rPr>
      <w:rFonts w:ascii="Verdana" w:hAnsi="Verdana" w:cs="Times New Roman" w:hint="default"/>
      <w:sz w:val="22"/>
      <w:szCs w:val="22"/>
      <w:lang w:val="pl-PL"/>
    </w:rPr>
  </w:style>
  <w:style w:type="character" w:customStyle="1" w:styleId="WW8Num31z4">
    <w:name w:val="WW8Num31z4"/>
    <w:rPr>
      <w:rFonts w:cs="Times New Roman"/>
    </w:rPr>
  </w:style>
  <w:style w:type="character" w:customStyle="1" w:styleId="WW8Num32z0">
    <w:name w:val="WW8Num32z0"/>
    <w:rPr>
      <w:rFonts w:cs="Times New Roman"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Verdana" w:hAnsi="Verdana" w:cs="Times New Roman" w:hint="default"/>
      <w:sz w:val="22"/>
      <w:szCs w:val="22"/>
      <w:lang w:val="pl-PL"/>
    </w:rPr>
  </w:style>
  <w:style w:type="character" w:customStyle="1" w:styleId="WW8Num34z1">
    <w:name w:val="WW8Num34z1"/>
    <w:rPr>
      <w:rFonts w:cs="Times New Roman"/>
    </w:rPr>
  </w:style>
  <w:style w:type="character" w:customStyle="1" w:styleId="Domylnaczcionkaakapitu1">
    <w:name w:val="Domyślna czcionka akapitu1"/>
  </w:style>
  <w:style w:type="character" w:styleId="Pogrubienie">
    <w:name w:val="Strong"/>
    <w:qFormat/>
    <w:rPr>
      <w:b/>
      <w:bCs/>
    </w:rPr>
  </w:style>
  <w:style w:type="character" w:customStyle="1" w:styleId="text8">
    <w:name w:val="text8"/>
    <w:basedOn w:val="Domylnaczcionkaakapitu1"/>
  </w:style>
  <w:style w:type="character" w:styleId="Numerstrony">
    <w:name w:val="page number"/>
    <w:basedOn w:val="Domylnaczcionkaakapitu1"/>
  </w:style>
  <w:style w:type="character" w:customStyle="1" w:styleId="sortarrow1">
    <w:name w:val="sortarrow1"/>
    <w:rPr>
      <w:strike w:val="0"/>
      <w:dstrike w:val="0"/>
      <w:color w:val="000000"/>
      <w:sz w:val="17"/>
      <w:szCs w:val="17"/>
      <w:u w:val="none"/>
    </w:rPr>
  </w:style>
  <w:style w:type="character" w:customStyle="1" w:styleId="BodyTextChar">
    <w:name w:val="Body Text Char"/>
    <w:rPr>
      <w:rFonts w:eastAsia="Calibri"/>
      <w:b/>
      <w:bCs/>
      <w:sz w:val="28"/>
      <w:szCs w:val="24"/>
      <w:lang w:val="pl-PL" w:eastAsia="ar-SA" w:bidi="ar-SA"/>
    </w:rPr>
  </w:style>
  <w:style w:type="character" w:styleId="Hipercze">
    <w:name w:val="Hyperlink"/>
    <w:rPr>
      <w:color w:val="0000FF"/>
      <w:u w:val="single"/>
    </w:rPr>
  </w:style>
  <w:style w:type="character" w:customStyle="1" w:styleId="TitleChar">
    <w:name w:val="Title Char"/>
    <w:rPr>
      <w:rFonts w:eastAsia="Calibri"/>
      <w:b/>
      <w:sz w:val="24"/>
      <w:lang w:val="pl-PL" w:eastAsia="ar-SA" w:bidi="ar-SA"/>
    </w:rPr>
  </w:style>
  <w:style w:type="character" w:customStyle="1" w:styleId="NormalWebChar">
    <w:name w:val="Normal (Web) Char"/>
    <w:rPr>
      <w:rFonts w:ascii="Arial Unicode MS" w:eastAsia="Arial Unicode MS" w:hAnsi="Arial Unicode MS" w:cs="Arial Unicode MS"/>
      <w:lang w:val="en-US" w:eastAsia="ar-SA" w:bidi="ar-SA"/>
    </w:rPr>
  </w:style>
  <w:style w:type="character" w:customStyle="1" w:styleId="ListLabel1">
    <w:name w:val="ListLabel 1"/>
    <w:rPr>
      <w:rFonts w:cs="Courier New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line="240" w:lineRule="auto"/>
      <w:ind w:left="0"/>
      <w:jc w:val="center"/>
    </w:pPr>
    <w:rPr>
      <w:rFonts w:ascii="Times New Roman" w:eastAsia="Calibri" w:hAnsi="Times New Roman" w:cs="Times New Roman"/>
      <w:b/>
      <w:bCs/>
      <w:sz w:val="28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Styl1">
    <w:name w:val="Styl1"/>
    <w:basedOn w:val="Normalny"/>
    <w:pPr>
      <w:autoSpaceDE w:val="0"/>
      <w:spacing w:before="120" w:after="120"/>
      <w:ind w:firstLine="708"/>
    </w:pPr>
    <w:rPr>
      <w:rFonts w:ascii="Verdana" w:hAnsi="Verdana"/>
      <w:szCs w:val="22"/>
    </w:rPr>
  </w:style>
  <w:style w:type="paragraph" w:styleId="Spistreci1">
    <w:name w:val="toc 1"/>
    <w:basedOn w:val="Normalny"/>
    <w:next w:val="Normalny"/>
    <w:rPr>
      <w:rFonts w:ascii="Verdana" w:hAnsi="Verdana"/>
    </w:rPr>
  </w:style>
  <w:style w:type="paragraph" w:styleId="Spistreci2">
    <w:name w:val="toc 2"/>
    <w:basedOn w:val="Normalny"/>
    <w:next w:val="Normalny"/>
    <w:pPr>
      <w:ind w:left="240"/>
    </w:pPr>
    <w:rPr>
      <w:rFonts w:ascii="Verdana" w:hAnsi="Verdana"/>
    </w:rPr>
  </w:style>
  <w:style w:type="paragraph" w:styleId="Spistreci3">
    <w:name w:val="toc 3"/>
    <w:basedOn w:val="Normalny"/>
    <w:next w:val="Normalny"/>
    <w:pPr>
      <w:ind w:left="480"/>
    </w:pPr>
    <w:rPr>
      <w:rFonts w:ascii="Verdana" w:hAnsi="Verdana"/>
    </w:rPr>
  </w:style>
  <w:style w:type="paragraph" w:styleId="Tytu">
    <w:name w:val="Title"/>
    <w:basedOn w:val="Normalny"/>
    <w:next w:val="Podtytu"/>
    <w:qFormat/>
    <w:pPr>
      <w:spacing w:line="240" w:lineRule="auto"/>
      <w:ind w:left="0"/>
      <w:jc w:val="center"/>
    </w:pPr>
    <w:rPr>
      <w:rFonts w:ascii="Times New Roman" w:eastAsia="Calibri" w:hAnsi="Times New Roman" w:cs="Times New Roman"/>
      <w:b/>
      <w:sz w:val="24"/>
      <w:szCs w:val="20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abelapozycja">
    <w:name w:val="Tabela pozycja"/>
    <w:basedOn w:val="Normalny"/>
    <w:pPr>
      <w:spacing w:line="240" w:lineRule="auto"/>
      <w:ind w:left="0"/>
      <w:jc w:val="left"/>
    </w:pPr>
    <w:rPr>
      <w:rFonts w:ascii="Arial" w:hAnsi="Arial" w:cs="Arial"/>
      <w:szCs w:val="20"/>
    </w:rPr>
  </w:style>
  <w:style w:type="paragraph" w:customStyle="1" w:styleId="Akapitzlist1">
    <w:name w:val="Akapit z listą1"/>
    <w:basedOn w:val="Normalny"/>
    <w:pPr>
      <w:spacing w:line="240" w:lineRule="auto"/>
      <w:ind w:left="720"/>
      <w:jc w:val="left"/>
    </w:pPr>
    <w:rPr>
      <w:rFonts w:ascii="Times New Roman" w:eastAsia="Calibri" w:hAnsi="Times New Roman" w:cs="Times New Roman"/>
      <w:sz w:val="20"/>
      <w:szCs w:val="20"/>
    </w:rPr>
  </w:style>
  <w:style w:type="paragraph" w:styleId="NormalnyWeb">
    <w:name w:val="Normal (Web)"/>
    <w:basedOn w:val="Normalny"/>
    <w:pPr>
      <w:spacing w:before="280" w:after="280" w:line="240" w:lineRule="auto"/>
      <w:ind w:left="0"/>
      <w:jc w:val="left"/>
    </w:pPr>
    <w:rPr>
      <w:rFonts w:ascii="Arial Unicode MS" w:eastAsia="Arial Unicode MS" w:hAnsi="Arial Unicode MS" w:cs="Arial Unicode MS"/>
      <w:sz w:val="20"/>
      <w:szCs w:val="20"/>
      <w:lang w:val="en-US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styleId="Spistreci4">
    <w:name w:val="toc 4"/>
    <w:basedOn w:val="Indeks"/>
    <w:pPr>
      <w:tabs>
        <w:tab w:val="right" w:leader="dot" w:pos="8789"/>
      </w:tabs>
      <w:ind w:left="849"/>
    </w:pPr>
  </w:style>
  <w:style w:type="paragraph" w:styleId="Spistreci5">
    <w:name w:val="toc 5"/>
    <w:basedOn w:val="Indeks"/>
    <w:pPr>
      <w:tabs>
        <w:tab w:val="right" w:leader="dot" w:pos="8506"/>
      </w:tabs>
      <w:ind w:left="1132"/>
    </w:pPr>
  </w:style>
  <w:style w:type="paragraph" w:styleId="Spistreci6">
    <w:name w:val="toc 6"/>
    <w:basedOn w:val="Indeks"/>
    <w:pPr>
      <w:tabs>
        <w:tab w:val="right" w:leader="dot" w:pos="8223"/>
      </w:tabs>
      <w:ind w:left="1415"/>
    </w:pPr>
  </w:style>
  <w:style w:type="paragraph" w:styleId="Spistreci7">
    <w:name w:val="toc 7"/>
    <w:basedOn w:val="Indeks"/>
    <w:pPr>
      <w:tabs>
        <w:tab w:val="right" w:leader="dot" w:pos="7940"/>
      </w:tabs>
      <w:ind w:left="1698"/>
    </w:pPr>
  </w:style>
  <w:style w:type="paragraph" w:styleId="Spistreci8">
    <w:name w:val="toc 8"/>
    <w:basedOn w:val="Indeks"/>
    <w:pPr>
      <w:tabs>
        <w:tab w:val="right" w:leader="dot" w:pos="7657"/>
      </w:tabs>
      <w:ind w:left="1981"/>
    </w:pPr>
  </w:style>
  <w:style w:type="paragraph" w:styleId="Spistreci9">
    <w:name w:val="toc 9"/>
    <w:basedOn w:val="Indeks"/>
    <w:pPr>
      <w:tabs>
        <w:tab w:val="right" w:leader="dot" w:pos="7374"/>
      </w:tabs>
      <w:ind w:left="2264"/>
    </w:pPr>
  </w:style>
  <w:style w:type="paragraph" w:customStyle="1" w:styleId="Spistreci10">
    <w:name w:val="Spis treści 10"/>
    <w:basedOn w:val="Indeks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customStyle="1" w:styleId="Tekstprzypisudolnego1">
    <w:name w:val="Tekst przypisu dolnego1"/>
    <w:basedOn w:val="Normalny"/>
    <w:rPr>
      <w:sz w:val="20"/>
      <w:szCs w:val="20"/>
    </w:rPr>
  </w:style>
  <w:style w:type="paragraph" w:styleId="Tekstdymka">
    <w:name w:val="Balloon Text"/>
    <w:basedOn w:val="Normalny"/>
    <w:link w:val="TekstdymkaZnak"/>
    <w:rsid w:val="00BB63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BB63BD"/>
    <w:rPr>
      <w:rFonts w:ascii="Segoe UI" w:hAnsi="Segoe UI" w:cs="Segoe UI"/>
      <w:sz w:val="18"/>
      <w:szCs w:val="18"/>
      <w:lang w:eastAsia="ar-SA"/>
    </w:rPr>
  </w:style>
  <w:style w:type="character" w:customStyle="1" w:styleId="fontstyle01">
    <w:name w:val="fontstyle01"/>
    <w:basedOn w:val="Domylnaczcionkaakapitu"/>
    <w:rsid w:val="005C1878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C1878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locked/>
    <w:rsid w:val="00745147"/>
    <w:rPr>
      <w:rFonts w:ascii="Tahoma" w:hAnsi="Tahoma" w:cs="Verdana"/>
      <w:sz w:val="22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8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 WYKONAWCZY</vt:lpstr>
    </vt:vector>
  </TitlesOfParts>
  <Company>HP</Company>
  <LinksUpToDate>false</LinksUpToDate>
  <CharactersWithSpaces>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 WYKONAWCZY</dc:title>
  <dc:subject/>
  <dc:creator>Firma YOCA</dc:creator>
  <cp:keywords/>
  <cp:lastModifiedBy>Konto Microsoft</cp:lastModifiedBy>
  <cp:revision>2</cp:revision>
  <cp:lastPrinted>2016-06-23T07:39:00Z</cp:lastPrinted>
  <dcterms:created xsi:type="dcterms:W3CDTF">2024-07-30T13:17:00Z</dcterms:created>
  <dcterms:modified xsi:type="dcterms:W3CDTF">2024-07-30T13:17:00Z</dcterms:modified>
</cp:coreProperties>
</file>